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left="1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7"/>
          <w:szCs w:val="47"/>
          <w:rtl w:val="0"/>
        </w:rPr>
        <w:t xml:space="preserve">SI’s Amendment #3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left="5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8-10,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9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" w:line="259" w:lineRule="auto"/>
        <w:ind w:left="19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RGANIZING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UTHORITY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University of Toledo Sailing Club (UTSC)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4" w:line="266" w:lineRule="auto"/>
        <w:ind w:left="1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OSTED BY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North Cape Yacht Club (NCYC)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The following is an amendment of SI section 9.3. The Start for Sunday will be at West Mark ½ NM east of the NCYC Channel Entry.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5" w:line="258" w:lineRule="auto"/>
        <w:ind w:left="540" w:hanging="540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9.3 Sunday Long distance race </w:t>
      </w:r>
      <w:r w:rsidDel="00000000" w:rsidR="00000000" w:rsidRPr="00000000">
        <w:rPr>
          <w:sz w:val="30"/>
          <w:szCs w:val="30"/>
          <w:rtl w:val="0"/>
        </w:rPr>
        <w:t xml:space="preserve">will be between the NCYC West mark, and the orange flag on the R/C boat. The mark is located approximately ½ NM east of the NCYC channel entry.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tabs>
        <w:tab w:val="center" w:leader="none" w:pos="5030"/>
      </w:tabs>
      <w:spacing w:after="25" w:line="259" w:lineRule="auto"/>
      <w:jc w:val="center"/>
      <w:rPr/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4025" cy="1834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4025" cy="183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